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3BE4EE34"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14.4</w:t>
          </w:r>
          <w:r w:rsidR="00576E59">
            <w:rPr>
              <w:rFonts w:ascii="Arial Narrow" w:hAnsi="Arial Narrow" w:cs="Arial Narrow"/>
              <w:sz w:val="26"/>
              <w:szCs w:val="26"/>
            </w:rPr>
            <w:t>.0.</w:t>
          </w:r>
          <w:r w:rsidR="005A7385">
            <w:rPr>
              <w:rFonts w:ascii="Arial Narrow" w:hAnsi="Arial Narrow" w:cs="Arial Narrow"/>
              <w:sz w:val="26"/>
              <w:szCs w:val="26"/>
            </w:rPr>
            <w:t>3</w:t>
          </w:r>
          <w:r w:rsidR="00576E59">
            <w:rPr>
              <w:rFonts w:ascii="Arial Narrow" w:hAnsi="Arial Narrow" w:cs="Arial Narrow"/>
              <w:sz w:val="26"/>
              <w:szCs w:val="26"/>
            </w:rPr>
            <w:t>.0</w:t>
          </w:r>
        </w:p>
        <w:p w14:paraId="034E7C93" w14:textId="5DDF49A0"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r>
            <w:rPr>
              <w:rFonts w:ascii="Arial Narrow" w:hAnsi="Arial Narrow" w:cs="Arial Narrow"/>
              <w:b/>
              <w:bCs/>
              <w:sz w:val="26"/>
              <w:szCs w:val="26"/>
            </w:rPr>
            <w:t xml:space="preserve"> </w:t>
          </w:r>
          <w:r w:rsidR="003B7EE1" w:rsidRPr="000265D2">
            <w:rPr>
              <w:rFonts w:ascii="Arial Narrow" w:hAnsi="Arial Narrow" w:cs="Arial Narrow"/>
              <w:b/>
              <w:bCs/>
              <w:sz w:val="26"/>
              <w:szCs w:val="26"/>
            </w:rPr>
            <w:t>F3</w:t>
          </w:r>
          <w:r w:rsidR="005A7385">
            <w:rPr>
              <w:rFonts w:ascii="Arial Narrow" w:hAnsi="Arial Narrow" w:cs="Arial Narrow"/>
              <w:b/>
              <w:bCs/>
              <w:sz w:val="26"/>
              <w:szCs w:val="26"/>
            </w:rPr>
            <w:t>9510</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02EA0BC0" w:rsidR="00F612D7" w:rsidRPr="005A7385" w:rsidRDefault="005A7385" w:rsidP="005A7385">
          <w:pPr>
            <w:spacing w:before="600"/>
            <w:ind w:left="3312"/>
            <w:rPr>
              <w:rFonts w:ascii="Arial Narrow" w:hAnsi="Arial Narrow" w:cs="Arial Narrow"/>
              <w:sz w:val="26"/>
              <w:szCs w:val="26"/>
            </w:rPr>
            <w:sectPr w:rsidR="00F612D7" w:rsidRPr="005A7385"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February</w:t>
          </w:r>
          <w:r w:rsidR="003B7EE1">
            <w:rPr>
              <w:rFonts w:ascii="Arial Narrow" w:hAnsi="Arial Narrow" w:cs="Arial Narrow"/>
              <w:sz w:val="26"/>
              <w:szCs w:val="26"/>
            </w:rPr>
            <w:t xml:space="preserve"> </w:t>
          </w:r>
          <w:r>
            <w:rPr>
              <w:rFonts w:ascii="Arial Narrow" w:hAnsi="Arial Narrow" w:cs="Arial Narrow"/>
              <w:sz w:val="26"/>
              <w:szCs w:val="26"/>
            </w:rPr>
            <w:t>2021</w:t>
          </w: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CA6515"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712BC5E"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3E7B4A" w:rsidRPr="00687010">
            <w:rPr>
              <w:rFonts w:ascii="Arial" w:hAnsi="Arial" w:cs="Arial"/>
              <w:sz w:val="20"/>
              <w:szCs w:val="20"/>
            </w:rPr>
            <w:t>, 20</w:t>
          </w:r>
          <w:r w:rsidR="00157971">
            <w:rPr>
              <w:rFonts w:ascii="Arial" w:hAnsi="Arial" w:cs="Arial"/>
              <w:sz w:val="20"/>
              <w:szCs w:val="20"/>
            </w:rPr>
            <w:t>2</w:t>
          </w:r>
          <w:r w:rsidR="005A7385">
            <w:rPr>
              <w:rFonts w:ascii="Arial" w:hAnsi="Arial" w:cs="Arial"/>
              <w:sz w:val="20"/>
              <w:szCs w:val="20"/>
            </w:rPr>
            <w:t>1</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CA6515">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CA6515">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CA6515">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CA6515">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CA6515">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CA6515">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3654E3A1" w:rsidR="00381A7F" w:rsidRDefault="00381A7F" w:rsidP="00381A7F">
      <w:pPr>
        <w:pStyle w:val="NumberedHeadingOne"/>
      </w:pPr>
      <w:r>
        <w:t xml:space="preserve">Go to the URL </w:t>
      </w:r>
      <w:hyperlink r:id="rId17" w:history="1">
        <w:r w:rsidR="005A7385" w:rsidRPr="0098172A">
          <w:rPr>
            <w:rStyle w:val="Hyperlink"/>
          </w:rPr>
          <w:t>https://docs.oracle.com/cd/F39510_01/index.htm</w:t>
        </w:r>
      </w:hyperlink>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proofErr w:type="gramStart"/>
      <w:r w:rsidRPr="00511BDA">
        <w:rPr>
          <w:b/>
        </w:rPr>
        <w:t>cmd</w:t>
      </w:r>
      <w:proofErr w:type="spellEnd"/>
      <w:r w:rsidRPr="00511BDA">
        <w:rPr>
          <w:b/>
        </w:rPr>
        <w:t>&gt;</w:t>
      </w:r>
      <w:proofErr w:type="gramEnd"/>
      <w:r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proofErr w:type="gramStart"/>
      <w:r w:rsidRPr="00511BDA">
        <w:rPr>
          <w:b/>
        </w:rPr>
        <w:t>python</w:t>
      </w:r>
      <w:proofErr w:type="gramEnd"/>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proofErr w:type="gramStart"/>
      <w:r w:rsidRPr="00A775D4">
        <w:rPr>
          <w:b/>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7749F616"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3BB524F9" w:rsidR="00C05467" w:rsidRDefault="005A7385" w:rsidP="00887E85">
      <w:pPr>
        <w:pStyle w:val="FigureTableTitleunderHeading11"/>
      </w:pPr>
      <w:r>
        <w:rPr>
          <w:noProof/>
        </w:rPr>
        <w:drawing>
          <wp:inline distT="0" distB="0" distL="0" distR="0" wp14:anchorId="2F58468A" wp14:editId="0DF355DD">
            <wp:extent cx="5394047" cy="3482503"/>
            <wp:effectExtent l="19050" t="19050" r="16510" b="228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5168" cy="3489683"/>
                    </a:xfrm>
                    <a:prstGeom prst="rect">
                      <a:avLst/>
                    </a:prstGeom>
                    <a:ln>
                      <a:solidFill>
                        <a:schemeClr val="tx1"/>
                      </a:solidFill>
                    </a:ln>
                  </pic:spPr>
                </pic:pic>
              </a:graphicData>
            </a:graphic>
          </wp:inline>
        </w:drawing>
      </w:r>
      <w:bookmarkStart w:id="49" w:name="_GoBack"/>
      <w:bookmarkEnd w:id="49"/>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w:t>
      </w:r>
      <w:proofErr w:type="gramStart"/>
      <w:r w:rsidR="00310BA7">
        <w:t>in</w:t>
      </w:r>
      <w:proofErr w:type="gramEnd"/>
      <w:r w:rsidR="00310BA7">
        <w:t xml:space="preserve">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D8DD4" w14:textId="77777777" w:rsidR="00CA6515" w:rsidRDefault="00CA6515" w:rsidP="00833460">
      <w:pPr>
        <w:spacing w:after="0" w:line="240" w:lineRule="auto"/>
      </w:pPr>
      <w:r>
        <w:separator/>
      </w:r>
    </w:p>
  </w:endnote>
  <w:endnote w:type="continuationSeparator" w:id="0">
    <w:p w14:paraId="4F347085" w14:textId="77777777" w:rsidR="00CA6515" w:rsidRDefault="00CA6515"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7D4F4383"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2020</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5A7385">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4E8F6" w14:textId="77777777" w:rsidR="00CA6515" w:rsidRDefault="00CA6515" w:rsidP="00833460">
      <w:pPr>
        <w:spacing w:after="0" w:line="240" w:lineRule="auto"/>
      </w:pPr>
      <w:r>
        <w:separator/>
      </w:r>
    </w:p>
  </w:footnote>
  <w:footnote w:type="continuationSeparator" w:id="0">
    <w:p w14:paraId="0E899CE0" w14:textId="77777777" w:rsidR="00CA6515" w:rsidRDefault="00CA6515"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385"/>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6515"/>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9510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0BC22-D6C3-43DD-A336-7BE07708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15544</TotalTime>
  <Pages>1</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3525</cp:revision>
  <cp:lastPrinted>2020-12-02T11:16:00Z</cp:lastPrinted>
  <dcterms:created xsi:type="dcterms:W3CDTF">2020-04-07T12:18:00Z</dcterms:created>
  <dcterms:modified xsi:type="dcterms:W3CDTF">2021-03-05T05:47:00Z</dcterms:modified>
</cp:coreProperties>
</file>